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ECCB7">
      <w:pPr>
        <w:rPr>
          <w:rFonts w:ascii="楷体" w:hAnsi="楷体" w:eastAsia="楷体"/>
          <w:sz w:val="24"/>
          <w:szCs w:val="24"/>
        </w:rPr>
      </w:pPr>
      <w:r>
        <w:rPr>
          <w:rFonts w:hint="eastAsia" w:ascii="Microsoft YaHei UI" w:hAnsi="Microsoft YaHei UI" w:eastAsia="Microsoft YaHei UI"/>
          <w:b/>
          <w:bCs/>
          <w:color w:val="222222"/>
          <w:spacing w:val="8"/>
          <w:sz w:val="23"/>
          <w:szCs w:val="23"/>
          <w:shd w:val="clear" w:color="auto" w:fill="FFFFFF"/>
          <w:lang w:val="en-US" w:eastAsia="zh-CN"/>
        </w:rPr>
        <w:t>课程大纲</w:t>
      </w:r>
    </w:p>
    <w:p w14:paraId="6262427F">
      <w:pPr>
        <w:pStyle w:val="4"/>
        <w:numPr>
          <w:ilvl w:val="0"/>
          <w:numId w:val="0"/>
        </w:numPr>
        <w:ind w:leftChars="0"/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  <w:t>1、加工贸易与保税监管概述</w:t>
      </w:r>
    </w:p>
    <w:p w14:paraId="61D90114">
      <w:pPr>
        <w:pStyle w:val="4"/>
        <w:numPr>
          <w:ilvl w:val="0"/>
          <w:numId w:val="0"/>
        </w:numPr>
        <w:ind w:leftChars="0"/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  <w:t>2、自贸试验区、海关特殊监管区域（场所）政策运用及筹划</w:t>
      </w:r>
    </w:p>
    <w:p w14:paraId="1DD48A1C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海关特殊监管区域（场所）发展历程及趋势</w:t>
      </w:r>
    </w:p>
    <w:p w14:paraId="6D64BB72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海关特殊监管场所政策功能对比及运用</w:t>
      </w:r>
    </w:p>
    <w:p w14:paraId="248113E6">
      <w:pPr>
        <w:pStyle w:val="4"/>
        <w:numPr>
          <w:ilvl w:val="0"/>
          <w:numId w:val="1"/>
        </w:numPr>
        <w:ind w:left="420" w:leftChars="0" w:hanging="420"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default" w:ascii="楷体" w:hAnsi="楷体" w:eastAsia="楷体"/>
          <w:sz w:val="24"/>
          <w:szCs w:val="24"/>
          <w:lang w:val="en-US" w:eastAsia="zh-CN"/>
        </w:rPr>
        <w:t>海关特殊监管区域政策功能对比及运用</w:t>
      </w:r>
    </w:p>
    <w:p w14:paraId="7C6A2AAA">
      <w:pPr>
        <w:pStyle w:val="4"/>
        <w:numPr>
          <w:ilvl w:val="0"/>
          <w:numId w:val="1"/>
        </w:numPr>
        <w:ind w:left="420" w:leftChars="0" w:hanging="420"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自贸试验区政策功能对比及运用</w:t>
      </w:r>
    </w:p>
    <w:p w14:paraId="52F834B3">
      <w:pPr>
        <w:pStyle w:val="4"/>
        <w:numPr>
          <w:ilvl w:val="0"/>
          <w:numId w:val="0"/>
        </w:numPr>
        <w:ind w:leftChars="0"/>
        <w:rPr>
          <w:rFonts w:hint="default" w:ascii="楷体" w:hAnsi="楷体" w:eastAsia="楷体"/>
          <w:sz w:val="24"/>
          <w:szCs w:val="24"/>
          <w:lang w:val="en-US" w:eastAsia="zh-CN"/>
        </w:rPr>
      </w:pPr>
    </w:p>
    <w:p w14:paraId="4917B77B">
      <w:pPr>
        <w:pStyle w:val="4"/>
        <w:numPr>
          <w:ilvl w:val="0"/>
          <w:numId w:val="0"/>
        </w:numPr>
        <w:ind w:leftChars="0"/>
        <w:rPr>
          <w:rFonts w:hint="default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  <w:t>3、综合保税区加工贸易实务</w:t>
      </w:r>
    </w:p>
    <w:p w14:paraId="3BFC84D3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综合保税区内企业加工贸易实务</w:t>
      </w:r>
    </w:p>
    <w:p w14:paraId="3C644DCE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综合保税区保税维修</w:t>
      </w:r>
    </w:p>
    <w:p w14:paraId="5A5005FF">
      <w:pPr>
        <w:pStyle w:val="4"/>
        <w:numPr>
          <w:ilvl w:val="0"/>
          <w:numId w:val="0"/>
        </w:numPr>
        <w:ind w:leftChars="0"/>
        <w:rPr>
          <w:rFonts w:hint="eastAsia" w:ascii="楷体" w:hAnsi="楷体" w:eastAsia="楷体"/>
          <w:sz w:val="24"/>
          <w:szCs w:val="24"/>
          <w:lang w:val="en-US" w:eastAsia="zh-CN"/>
        </w:rPr>
      </w:pPr>
    </w:p>
    <w:p w14:paraId="7F500F53">
      <w:pPr>
        <w:pStyle w:val="4"/>
        <w:numPr>
          <w:ilvl w:val="0"/>
          <w:numId w:val="0"/>
        </w:numPr>
        <w:ind w:left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  <w:t>4、加工贸易实务及合规筹划</w:t>
      </w:r>
    </w:p>
    <w:p w14:paraId="5565716A">
      <w:pPr>
        <w:pStyle w:val="4"/>
        <w:numPr>
          <w:ilvl w:val="0"/>
          <w:numId w:val="1"/>
        </w:numPr>
        <w:ind w:left="420" w:leftChars="0" w:hanging="420"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加工贸易监管模式的变化及发展趋势</w:t>
      </w:r>
    </w:p>
    <w:p w14:paraId="10681EC2">
      <w:pPr>
        <w:pStyle w:val="4"/>
        <w:numPr>
          <w:ilvl w:val="0"/>
          <w:numId w:val="1"/>
        </w:numPr>
        <w:ind w:left="420" w:leftChars="0" w:hanging="420"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加工贸易准入管理</w:t>
      </w:r>
    </w:p>
    <w:p w14:paraId="1B083AC5">
      <w:pPr>
        <w:pStyle w:val="4"/>
        <w:numPr>
          <w:ilvl w:val="0"/>
          <w:numId w:val="1"/>
        </w:numPr>
        <w:ind w:left="420" w:leftChars="0" w:hanging="420"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加工贸易手册设立、单耗管理及</w:t>
      </w:r>
    </w:p>
    <w:p w14:paraId="50FFB3A5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加工贸易便利政策-内销征税的办理及注意事项，违规案例分析</w:t>
      </w:r>
    </w:p>
    <w:p w14:paraId="0FE83F00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加工贸易便利政策-深加工结转、保税一日游业务</w:t>
      </w:r>
    </w:p>
    <w:p w14:paraId="683AD677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加工贸易管理要点</w:t>
      </w:r>
    </w:p>
    <w:p w14:paraId="269C351E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加工贸易保税物料管理</w:t>
      </w:r>
    </w:p>
    <w:p w14:paraId="1E0BCFF8">
      <w:pPr>
        <w:pStyle w:val="4"/>
        <w:numPr>
          <w:ilvl w:val="0"/>
          <w:numId w:val="2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加工贸易的盘盈盘亏的处理</w:t>
      </w:r>
    </w:p>
    <w:p w14:paraId="2512FF8B">
      <w:pPr>
        <w:pStyle w:val="4"/>
        <w:numPr>
          <w:ilvl w:val="0"/>
          <w:numId w:val="2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加工贸易残次品、报废品、边角料的处理</w:t>
      </w:r>
    </w:p>
    <w:p w14:paraId="3408BEFF">
      <w:pPr>
        <w:pStyle w:val="4"/>
        <w:numPr>
          <w:ilvl w:val="0"/>
          <w:numId w:val="2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仓库及生产线的管理</w:t>
      </w:r>
    </w:p>
    <w:p w14:paraId="64B582A4">
      <w:pPr>
        <w:pStyle w:val="4"/>
        <w:numPr>
          <w:ilvl w:val="0"/>
          <w:numId w:val="2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ERP系统库存、工厂实际库存与海关库存的比对、平衡</w:t>
      </w:r>
    </w:p>
    <w:p w14:paraId="1AC78144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加工贸易企业业务规范化的方向和目标</w:t>
      </w:r>
    </w:p>
    <w:p w14:paraId="22B4BCFB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加工贸易合规筹划案例分享</w:t>
      </w:r>
    </w:p>
    <w:p w14:paraId="4A5818BE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加工贸易法律风险表现</w:t>
      </w:r>
    </w:p>
    <w:p w14:paraId="28D994CB">
      <w:pPr>
        <w:pStyle w:val="4"/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加工贸易违规案例分析</w:t>
      </w:r>
    </w:p>
    <w:p w14:paraId="2E9888CB">
      <w:pPr>
        <w:pStyle w:val="4"/>
        <w:numPr>
          <w:ilvl w:val="0"/>
          <w:numId w:val="0"/>
        </w:numPr>
        <w:ind w:leftChars="0"/>
        <w:rPr>
          <w:rFonts w:hint="eastAsia" w:ascii="楷体" w:hAnsi="楷体" w:eastAsia="楷体"/>
          <w:sz w:val="24"/>
          <w:szCs w:val="24"/>
          <w:lang w:val="en-US" w:eastAsia="zh-CN"/>
        </w:rPr>
      </w:pPr>
    </w:p>
    <w:p w14:paraId="636FB853">
      <w:pPr>
        <w:pStyle w:val="4"/>
        <w:numPr>
          <w:ilvl w:val="0"/>
          <w:numId w:val="0"/>
        </w:numPr>
        <w:ind w:leftChars="0"/>
        <w:rPr>
          <w:rFonts w:hint="eastAsia" w:ascii="楷体" w:hAnsi="楷体" w:eastAsia="楷体"/>
          <w:sz w:val="24"/>
          <w:szCs w:val="24"/>
          <w:lang w:val="en-US" w:eastAsia="zh-CN"/>
        </w:rPr>
      </w:pPr>
    </w:p>
    <w:p w14:paraId="4C3AFCEA">
      <w:pPr>
        <w:pStyle w:val="4"/>
        <w:numPr>
          <w:ilvl w:val="0"/>
          <w:numId w:val="0"/>
        </w:numPr>
        <w:ind w:leftChars="0"/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 w:cstheme="minorBidi"/>
          <w:color w:val="222222"/>
          <w:spacing w:val="8"/>
          <w:kern w:val="2"/>
          <w:sz w:val="23"/>
          <w:szCs w:val="23"/>
          <w:shd w:val="clear" w:color="auto" w:fill="FFFFFF"/>
          <w:lang w:val="en-US" w:eastAsia="zh-CN" w:bidi="ar-SA"/>
        </w:rPr>
        <w:t>5、加工贸易</w:t>
      </w:r>
      <w:r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  <w:t>海关核查及企业风险应对</w:t>
      </w:r>
    </w:p>
    <w:p w14:paraId="7776E491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海关核查的概念、核查的范围、分类及要点</w:t>
      </w:r>
    </w:p>
    <w:p w14:paraId="7E4EF352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海关核查的法律依据和方式</w:t>
      </w:r>
    </w:p>
    <w:p w14:paraId="279C23DB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海关核查中企业的权利义务</w:t>
      </w:r>
    </w:p>
    <w:p w14:paraId="2E1DA949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加工贸易核查海关的关注点</w:t>
      </w:r>
    </w:p>
    <w:p w14:paraId="5AD0F9D1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企业如何配合海关核查以及风险应对</w:t>
      </w:r>
    </w:p>
    <w:p w14:paraId="478F76BE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default" w:ascii="楷体" w:hAnsi="楷体" w:eastAsia="楷体"/>
          <w:sz w:val="24"/>
          <w:szCs w:val="24"/>
          <w:lang w:val="en-US" w:eastAsia="zh-CN"/>
        </w:rPr>
        <w:t>〃互联网+网上稽核查"监管模式</w:t>
      </w:r>
    </w:p>
    <w:p w14:paraId="5DFC75B8">
      <w:pPr>
        <w:numPr>
          <w:ilvl w:val="0"/>
          <w:numId w:val="0"/>
        </w:numPr>
        <w:rPr>
          <w:rFonts w:hint="default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  <w:t>6、</w:t>
      </w:r>
      <w:r>
        <w:rPr>
          <w:rFonts w:hint="eastAsia" w:ascii="Microsoft YaHei UI" w:hAnsi="Microsoft YaHei UI" w:eastAsia="Microsoft YaHei UI" w:cstheme="minorBidi"/>
          <w:color w:val="222222"/>
          <w:spacing w:val="8"/>
          <w:kern w:val="2"/>
          <w:sz w:val="23"/>
          <w:szCs w:val="23"/>
          <w:shd w:val="clear" w:color="auto" w:fill="FFFFFF"/>
          <w:lang w:val="en-US" w:eastAsia="zh-CN" w:bidi="ar-SA"/>
        </w:rPr>
        <w:t>加工贸易</w:t>
      </w:r>
      <w:r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  <w:t>海关稽查及企业风险应对</w:t>
      </w:r>
    </w:p>
    <w:p w14:paraId="0A1F65DB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海关稽查概述</w:t>
      </w:r>
    </w:p>
    <w:p w14:paraId="2AF58BF1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海关稽查的法律体系</w:t>
      </w:r>
    </w:p>
    <w:p w14:paraId="0389B46F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稽查的分类</w:t>
      </w:r>
    </w:p>
    <w:p w14:paraId="79B1BD61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海关稽查的程序</w:t>
      </w:r>
    </w:p>
    <w:p w14:paraId="019D41AF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专项稽查和常规稽查的区别</w:t>
      </w:r>
    </w:p>
    <w:p w14:paraId="7E45BF90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海关稽查对象的确定</w:t>
      </w:r>
    </w:p>
    <w:p w14:paraId="24E8FC5F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海关稽查风险及应对</w:t>
      </w:r>
    </w:p>
    <w:p w14:paraId="072FBF19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违规、违法海关的处理方式</w:t>
      </w:r>
    </w:p>
    <w:p w14:paraId="4064E991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改革后稽查查发的重点</w:t>
      </w:r>
    </w:p>
    <w:p w14:paraId="79E8C120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2023年涉税稽查的重点</w:t>
      </w:r>
    </w:p>
    <w:p w14:paraId="412C6431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海关稽查的趋势</w:t>
      </w:r>
    </w:p>
    <w:p w14:paraId="177CD6E8">
      <w:pPr>
        <w:pStyle w:val="4"/>
        <w:numPr>
          <w:ilvl w:val="0"/>
          <w:numId w:val="3"/>
        </w:numPr>
        <w:ind w:firstLine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稽查案例分享</w:t>
      </w:r>
    </w:p>
    <w:p w14:paraId="6DCFD9FA">
      <w:pPr>
        <w:pStyle w:val="4"/>
        <w:numPr>
          <w:ilvl w:val="0"/>
          <w:numId w:val="0"/>
        </w:numPr>
        <w:ind w:leftChars="0"/>
        <w:rPr>
          <w:rFonts w:hint="eastAsia" w:ascii="楷体" w:hAnsi="楷体" w:eastAsia="楷体"/>
          <w:sz w:val="24"/>
          <w:szCs w:val="24"/>
          <w:lang w:val="en-US" w:eastAsia="zh-CN"/>
        </w:rPr>
      </w:pPr>
    </w:p>
    <w:p w14:paraId="31410015">
      <w:pPr>
        <w:pStyle w:val="4"/>
        <w:numPr>
          <w:ilvl w:val="0"/>
          <w:numId w:val="0"/>
        </w:numPr>
        <w:ind w:leftChars="0"/>
        <w:rPr>
          <w:rFonts w:hint="eastAsia" w:ascii="楷体" w:hAnsi="楷体" w:eastAsia="楷体"/>
          <w:sz w:val="24"/>
          <w:szCs w:val="24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  <w:t>7、新监管环境下</w:t>
      </w:r>
      <w:r>
        <w:rPr>
          <w:rFonts w:hint="default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  <w:t>企业关务风险识别</w:t>
      </w:r>
    </w:p>
    <w:p w14:paraId="6BD5E320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关务风险主要表现</w:t>
      </w:r>
    </w:p>
    <w:p w14:paraId="728A2258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default" w:ascii="楷体" w:hAnsi="楷体" w:eastAsia="楷体"/>
          <w:sz w:val="24"/>
          <w:szCs w:val="24"/>
          <w:lang w:val="en-US" w:eastAsia="zh-CN"/>
        </w:rPr>
        <w:t>关务风险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的原因分析</w:t>
      </w:r>
    </w:p>
    <w:p w14:paraId="56F31F46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default" w:ascii="楷体" w:hAnsi="楷体" w:eastAsia="楷体"/>
          <w:sz w:val="24"/>
          <w:szCs w:val="24"/>
          <w:lang w:val="en-US" w:eastAsia="zh-CN"/>
        </w:rPr>
        <w:t>企业关务风险解决路径</w:t>
      </w:r>
    </w:p>
    <w:p w14:paraId="4D889294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default" w:ascii="楷体" w:hAnsi="楷体" w:eastAsia="楷体"/>
          <w:sz w:val="24"/>
          <w:szCs w:val="24"/>
          <w:lang w:val="en-US" w:eastAsia="zh-CN"/>
        </w:rPr>
        <w:t>关务合规风险管控的目的</w:t>
      </w:r>
    </w:p>
    <w:p w14:paraId="771B86F9">
      <w:pPr>
        <w:pStyle w:val="4"/>
        <w:numPr>
          <w:ilvl w:val="0"/>
          <w:numId w:val="0"/>
        </w:numPr>
        <w:ind w:leftChars="0"/>
        <w:rPr>
          <w:rFonts w:hint="default" w:ascii="楷体" w:hAnsi="楷体" w:eastAsia="楷体"/>
          <w:sz w:val="24"/>
          <w:szCs w:val="24"/>
          <w:lang w:val="en-US" w:eastAsia="zh-CN"/>
        </w:rPr>
      </w:pPr>
    </w:p>
    <w:p w14:paraId="12569582">
      <w:pPr>
        <w:numPr>
          <w:ilvl w:val="0"/>
          <w:numId w:val="0"/>
        </w:numPr>
        <w:rPr>
          <w:rFonts w:hint="default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</w:pPr>
      <w:r>
        <w:rPr>
          <w:rFonts w:hint="eastAsia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  <w:t>8、</w:t>
      </w:r>
      <w:r>
        <w:rPr>
          <w:rFonts w:hint="default" w:ascii="Microsoft YaHei UI" w:hAnsi="Microsoft YaHei UI" w:eastAsia="Microsoft YaHei UI"/>
          <w:color w:val="222222"/>
          <w:spacing w:val="8"/>
          <w:sz w:val="23"/>
          <w:szCs w:val="23"/>
          <w:shd w:val="clear" w:color="auto" w:fill="FFFFFF"/>
          <w:lang w:val="en-US" w:eastAsia="zh-CN"/>
        </w:rPr>
        <w:t>关务合规及风险防范</w:t>
      </w:r>
    </w:p>
    <w:p w14:paraId="288FEE34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default" w:ascii="楷体" w:hAnsi="楷体" w:eastAsia="楷体"/>
          <w:sz w:val="24"/>
          <w:szCs w:val="24"/>
          <w:lang w:val="en-US" w:eastAsia="zh-CN"/>
        </w:rPr>
        <w:t>企业为何要对关务管理进行合规筹划？</w:t>
      </w:r>
    </w:p>
    <w:p w14:paraId="4073744A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default" w:ascii="楷体" w:hAnsi="楷体" w:eastAsia="楷体"/>
          <w:sz w:val="24"/>
          <w:szCs w:val="24"/>
          <w:lang w:val="en-US" w:eastAsia="zh-CN"/>
        </w:rPr>
        <w:t>企业如何管控关务风险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、构建风险防火墙</w:t>
      </w:r>
    </w:p>
    <w:p w14:paraId="200ED107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default" w:ascii="楷体" w:hAnsi="楷体" w:eastAsia="楷体"/>
          <w:sz w:val="24"/>
          <w:szCs w:val="24"/>
          <w:lang w:val="en-US" w:eastAsia="zh-CN"/>
        </w:rPr>
        <w:t>关务合规及风险防范路径</w:t>
      </w:r>
    </w:p>
    <w:p w14:paraId="74A29ABD">
      <w:pPr>
        <w:pStyle w:val="4"/>
        <w:numPr>
          <w:ilvl w:val="0"/>
          <w:numId w:val="3"/>
        </w:numPr>
        <w:ind w:firstLineChars="0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lang w:val="en-US" w:eastAsia="zh-CN"/>
        </w:rPr>
        <w:t>案例分享</w:t>
      </w:r>
    </w:p>
    <w:p w14:paraId="279A70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499262"/>
    <w:multiLevelType w:val="singleLevel"/>
    <w:tmpl w:val="B3499262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3E2B420D"/>
    <w:multiLevelType w:val="multilevel"/>
    <w:tmpl w:val="3E2B420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F0AFBA7"/>
    <w:multiLevelType w:val="singleLevel"/>
    <w:tmpl w:val="6F0AFB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A018F"/>
    <w:rsid w:val="016A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2024-12-12T01:24:00Z</dcterms:created>
  <dc:creator>～VEGETABLE～</dc:creator>
  <cp:lastModifiedBy>～VEGETABLE～</cp:lastModifiedBy>
  <dcterms:modified xsi:type="dcterms:W3CDTF">2024-12-12T01:25:06Z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8743DB9FB4174340963C99E7097DCA97_11</vt:lpwstr>
  </property>
</Properties>
</file>